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0D560266" w14:textId="36A6B260" w:rsidR="00D86D39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1337E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B044F6">
        <w:rPr>
          <w:rFonts w:ascii="Palatino" w:hAnsi="Palatino"/>
          <w:sz w:val="40"/>
          <w:szCs w:val="40"/>
        </w:rPr>
        <w:t>Vocabulary</w:t>
      </w:r>
    </w:p>
    <w:p w14:paraId="2AD6DE29" w14:textId="79306182" w:rsidR="005F7051" w:rsidRDefault="005F7051">
      <w:pPr>
        <w:rPr>
          <w:rFonts w:ascii="Palatino" w:hAnsi="Palati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C34B38" w14:paraId="0F9EC583" w14:textId="77777777" w:rsidTr="00E61BF2">
        <w:tc>
          <w:tcPr>
            <w:tcW w:w="2335" w:type="dxa"/>
          </w:tcPr>
          <w:p w14:paraId="194B10C9" w14:textId="395E0167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AABA Form</w:t>
            </w:r>
          </w:p>
        </w:tc>
        <w:tc>
          <w:tcPr>
            <w:tcW w:w="7015" w:type="dxa"/>
          </w:tcPr>
          <w:p w14:paraId="6FCFBD51" w14:textId="254DA45B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Common song form using three similar quatrains and one that is different</w:t>
            </w:r>
          </w:p>
        </w:tc>
      </w:tr>
      <w:tr w:rsidR="00C34B38" w14:paraId="2F863F7C" w14:textId="77777777" w:rsidTr="00E61BF2">
        <w:tc>
          <w:tcPr>
            <w:tcW w:w="2335" w:type="dxa"/>
          </w:tcPr>
          <w:p w14:paraId="590BFA72" w14:textId="66688D9B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Authentic Cadence</w:t>
            </w:r>
          </w:p>
        </w:tc>
        <w:tc>
          <w:tcPr>
            <w:tcW w:w="7015" w:type="dxa"/>
          </w:tcPr>
          <w:p w14:paraId="3B93C8AC" w14:textId="2EA70AAE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Harmonic motion from the dominant to the tonic</w:t>
            </w:r>
          </w:p>
        </w:tc>
      </w:tr>
      <w:tr w:rsidR="00C34B38" w14:paraId="2789854C" w14:textId="77777777" w:rsidTr="00E61BF2">
        <w:tc>
          <w:tcPr>
            <w:tcW w:w="2335" w:type="dxa"/>
          </w:tcPr>
          <w:p w14:paraId="4C3E3916" w14:textId="540D4E32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B Section</w:t>
            </w:r>
          </w:p>
        </w:tc>
        <w:tc>
          <w:tcPr>
            <w:tcW w:w="7015" w:type="dxa"/>
          </w:tcPr>
          <w:p w14:paraId="0A20CDF2" w14:textId="595183F6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section of the song that provides variety, also known as the bridge</w:t>
            </w:r>
          </w:p>
        </w:tc>
      </w:tr>
      <w:tr w:rsidR="00C34B38" w14:paraId="6641F620" w14:textId="77777777" w:rsidTr="00E61BF2">
        <w:tc>
          <w:tcPr>
            <w:tcW w:w="2335" w:type="dxa"/>
          </w:tcPr>
          <w:p w14:paraId="61CB79EB" w14:textId="1D7DBAAB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Ballade</w:t>
            </w:r>
          </w:p>
        </w:tc>
        <w:tc>
          <w:tcPr>
            <w:tcW w:w="7015" w:type="dxa"/>
          </w:tcPr>
          <w:p w14:paraId="561106E2" w14:textId="27404A89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type of music theatre song which focuses on high emotion</w:t>
            </w:r>
          </w:p>
        </w:tc>
      </w:tr>
      <w:tr w:rsidR="00C34B38" w14:paraId="6B21AD1A" w14:textId="77777777" w:rsidTr="00E61BF2">
        <w:tc>
          <w:tcPr>
            <w:tcW w:w="2335" w:type="dxa"/>
          </w:tcPr>
          <w:p w14:paraId="0B8C044B" w14:textId="7B6EF82D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Bridge</w:t>
            </w:r>
          </w:p>
        </w:tc>
        <w:tc>
          <w:tcPr>
            <w:tcW w:w="7015" w:type="dxa"/>
          </w:tcPr>
          <w:p w14:paraId="158D5C7C" w14:textId="68783F43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B section of a song form and provides a contrast to the A sections</w:t>
            </w:r>
          </w:p>
        </w:tc>
      </w:tr>
      <w:tr w:rsidR="00C34B38" w14:paraId="0ED04E04" w14:textId="77777777" w:rsidTr="00E61BF2">
        <w:tc>
          <w:tcPr>
            <w:tcW w:w="2335" w:type="dxa"/>
          </w:tcPr>
          <w:p w14:paraId="05FAB729" w14:textId="6B33D02E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Charm Song</w:t>
            </w:r>
          </w:p>
        </w:tc>
        <w:tc>
          <w:tcPr>
            <w:tcW w:w="7015" w:type="dxa"/>
          </w:tcPr>
          <w:p w14:paraId="7E5144FB" w14:textId="681FD0D8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type of music theatre song which moves along at a steady pace</w:t>
            </w:r>
          </w:p>
        </w:tc>
      </w:tr>
      <w:tr w:rsidR="00C34B38" w14:paraId="608FE530" w14:textId="77777777" w:rsidTr="00E61BF2">
        <w:tc>
          <w:tcPr>
            <w:tcW w:w="2335" w:type="dxa"/>
          </w:tcPr>
          <w:p w14:paraId="684DBA9B" w14:textId="3DC65C0A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Coda</w:t>
            </w:r>
          </w:p>
        </w:tc>
        <w:tc>
          <w:tcPr>
            <w:tcW w:w="7015" w:type="dxa"/>
          </w:tcPr>
          <w:p w14:paraId="08FCAD45" w14:textId="279BD0B4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An extension or final small section in a song</w:t>
            </w:r>
          </w:p>
        </w:tc>
      </w:tr>
      <w:tr w:rsidR="00C34B38" w14:paraId="7AE129C6" w14:textId="77777777" w:rsidTr="00E61BF2">
        <w:tc>
          <w:tcPr>
            <w:tcW w:w="2335" w:type="dxa"/>
          </w:tcPr>
          <w:p w14:paraId="0B585A54" w14:textId="7DC5B1B0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Comedy Song</w:t>
            </w:r>
          </w:p>
        </w:tc>
        <w:tc>
          <w:tcPr>
            <w:tcW w:w="7015" w:type="dxa"/>
          </w:tcPr>
          <w:p w14:paraId="578DED9B" w14:textId="1FA241E4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type of music theatre song where the focus is more on the lyric humor</w:t>
            </w:r>
          </w:p>
        </w:tc>
      </w:tr>
      <w:tr w:rsidR="00C34B38" w14:paraId="11C39417" w14:textId="77777777" w:rsidTr="00E61BF2">
        <w:tc>
          <w:tcPr>
            <w:tcW w:w="2335" w:type="dxa"/>
          </w:tcPr>
          <w:p w14:paraId="2B0C824C" w14:textId="243EA6C6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Couplet</w:t>
            </w:r>
          </w:p>
        </w:tc>
        <w:tc>
          <w:tcPr>
            <w:tcW w:w="7015" w:type="dxa"/>
          </w:tcPr>
          <w:p w14:paraId="19EF70B5" w14:textId="298C7EC5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Two lines of lyric or poetry together</w:t>
            </w:r>
          </w:p>
        </w:tc>
      </w:tr>
      <w:tr w:rsidR="00C34B38" w14:paraId="41386160" w14:textId="77777777" w:rsidTr="00E61BF2">
        <w:tc>
          <w:tcPr>
            <w:tcW w:w="2335" w:type="dxa"/>
          </w:tcPr>
          <w:p w14:paraId="17150303" w14:textId="1290BAE5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Climax</w:t>
            </w:r>
          </w:p>
        </w:tc>
        <w:tc>
          <w:tcPr>
            <w:tcW w:w="7015" w:type="dxa"/>
          </w:tcPr>
          <w:p w14:paraId="1C21369A" w14:textId="0F35F3DB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peak of a musical phrase, quatrain, or song</w:t>
            </w:r>
          </w:p>
        </w:tc>
      </w:tr>
      <w:tr w:rsidR="00C34B38" w14:paraId="216EABC3" w14:textId="77777777" w:rsidTr="00E61BF2">
        <w:tc>
          <w:tcPr>
            <w:tcW w:w="2335" w:type="dxa"/>
          </w:tcPr>
          <w:p w14:paraId="2AFC78E4" w14:textId="555EA92C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7015" w:type="dxa"/>
          </w:tcPr>
          <w:p w14:paraId="32B69493" w14:textId="23D8D986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proofErr w:type="gramStart"/>
            <w:r w:rsidRPr="004238B6">
              <w:rPr>
                <w:rFonts w:ascii="Palatino" w:hAnsi="Palatino" w:cs="Times New Roman"/>
                <w:sz w:val="20"/>
                <w:szCs w:val="20"/>
              </w:rPr>
              <w:t>Similar to</w:t>
            </w:r>
            <w:proofErr w:type="gramEnd"/>
            <w:r w:rsidRPr="004238B6">
              <w:rPr>
                <w:rFonts w:ascii="Palatino" w:hAnsi="Palatino" w:cs="Times New Roman"/>
                <w:sz w:val="20"/>
                <w:szCs w:val="20"/>
              </w:rPr>
              <w:t xml:space="preserve"> a coda, an extension often prolongs the final harmony</w:t>
            </w:r>
          </w:p>
        </w:tc>
      </w:tr>
      <w:tr w:rsidR="00C34B38" w14:paraId="27782774" w14:textId="77777777" w:rsidTr="00E61BF2">
        <w:tc>
          <w:tcPr>
            <w:tcW w:w="2335" w:type="dxa"/>
          </w:tcPr>
          <w:p w14:paraId="2DC021F2" w14:textId="2B8CEFDA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Feel</w:t>
            </w:r>
          </w:p>
        </w:tc>
        <w:tc>
          <w:tcPr>
            <w:tcW w:w="7015" w:type="dxa"/>
          </w:tcPr>
          <w:p w14:paraId="3EE30D0B" w14:textId="511DAFA9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rhythmic groove of the music</w:t>
            </w:r>
          </w:p>
        </w:tc>
      </w:tr>
      <w:tr w:rsidR="00C34B38" w14:paraId="6B26D8BC" w14:textId="77777777" w:rsidTr="00E61BF2">
        <w:tc>
          <w:tcPr>
            <w:tcW w:w="2335" w:type="dxa"/>
          </w:tcPr>
          <w:p w14:paraId="478E596B" w14:textId="58DA4321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Female Endings</w:t>
            </w:r>
          </w:p>
        </w:tc>
        <w:tc>
          <w:tcPr>
            <w:tcW w:w="7015" w:type="dxa"/>
          </w:tcPr>
          <w:p w14:paraId="3B093444" w14:textId="7AE8D942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Syllabic endings where an accent is on the penultimate syllable at the end of a line</w:t>
            </w:r>
          </w:p>
        </w:tc>
      </w:tr>
      <w:tr w:rsidR="00C34B38" w14:paraId="3921312E" w14:textId="77777777" w:rsidTr="00E61BF2">
        <w:tc>
          <w:tcPr>
            <w:tcW w:w="2335" w:type="dxa"/>
          </w:tcPr>
          <w:p w14:paraId="4C55A1CD" w14:textId="484E2706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Foot Level</w:t>
            </w:r>
          </w:p>
        </w:tc>
        <w:tc>
          <w:tcPr>
            <w:tcW w:w="7015" w:type="dxa"/>
          </w:tcPr>
          <w:p w14:paraId="0C2D18E8" w14:textId="51E3A446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Focusing on stress within an iambic foot</w:t>
            </w:r>
          </w:p>
        </w:tc>
      </w:tr>
      <w:tr w:rsidR="00C34B38" w14:paraId="14B2AE3F" w14:textId="77777777" w:rsidTr="00E61BF2">
        <w:tc>
          <w:tcPr>
            <w:tcW w:w="2335" w:type="dxa"/>
          </w:tcPr>
          <w:p w14:paraId="496894B1" w14:textId="793BE971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Half Cadence</w:t>
            </w:r>
          </w:p>
        </w:tc>
        <w:tc>
          <w:tcPr>
            <w:tcW w:w="7015" w:type="dxa"/>
          </w:tcPr>
          <w:p w14:paraId="4C1D221E" w14:textId="2521EF77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Harmonic motion from the tonic to the dominant</w:t>
            </w:r>
          </w:p>
        </w:tc>
      </w:tr>
      <w:tr w:rsidR="00C34B38" w14:paraId="41329520" w14:textId="77777777" w:rsidTr="00E61BF2">
        <w:tc>
          <w:tcPr>
            <w:tcW w:w="2335" w:type="dxa"/>
          </w:tcPr>
          <w:p w14:paraId="25D35618" w14:textId="0A779335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Hook</w:t>
            </w:r>
          </w:p>
        </w:tc>
        <w:tc>
          <w:tcPr>
            <w:tcW w:w="7015" w:type="dxa"/>
          </w:tcPr>
          <w:p w14:paraId="379A9AD4" w14:textId="21EC8080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phrase — music and lyric — which sticks in the listener’s mind</w:t>
            </w:r>
          </w:p>
        </w:tc>
      </w:tr>
      <w:tr w:rsidR="00C34B38" w14:paraId="01D40370" w14:textId="77777777" w:rsidTr="00E61BF2">
        <w:tc>
          <w:tcPr>
            <w:tcW w:w="2335" w:type="dxa"/>
          </w:tcPr>
          <w:p w14:paraId="4C8FCBDC" w14:textId="2857152C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Iambic</w:t>
            </w:r>
          </w:p>
        </w:tc>
        <w:tc>
          <w:tcPr>
            <w:tcW w:w="7015" w:type="dxa"/>
          </w:tcPr>
          <w:p w14:paraId="438C8B97" w14:textId="090A60EE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type of poetic foot where there are two syllables: one weak — one strong</w:t>
            </w:r>
          </w:p>
        </w:tc>
      </w:tr>
      <w:tr w:rsidR="00C34B38" w14:paraId="4CDAFD70" w14:textId="77777777" w:rsidTr="00E61BF2">
        <w:tc>
          <w:tcPr>
            <w:tcW w:w="2335" w:type="dxa"/>
          </w:tcPr>
          <w:p w14:paraId="18B06D0D" w14:textId="77777777" w:rsidR="00E61BF2" w:rsidRDefault="00C34B38" w:rsidP="00E61BF2">
            <w:pPr>
              <w:ind w:hanging="720"/>
              <w:jc w:val="right"/>
              <w:rPr>
                <w:rFonts w:ascii="Palatino" w:hAnsi="Palatino" w:cs="Times New Roman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Imperfect Authentic</w:t>
            </w:r>
          </w:p>
          <w:p w14:paraId="3D94A286" w14:textId="0F99C1E7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Cadence</w:t>
            </w:r>
          </w:p>
        </w:tc>
        <w:tc>
          <w:tcPr>
            <w:tcW w:w="7015" w:type="dxa"/>
          </w:tcPr>
          <w:p w14:paraId="0A2BC96C" w14:textId="50A8AC36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Harmonic motion from the dominant to the tonic with ‘Do’ present in bass, but not the melody</w:t>
            </w:r>
          </w:p>
        </w:tc>
      </w:tr>
      <w:tr w:rsidR="00C34B38" w14:paraId="1AEECCF6" w14:textId="77777777" w:rsidTr="00E61BF2">
        <w:tc>
          <w:tcPr>
            <w:tcW w:w="2335" w:type="dxa"/>
          </w:tcPr>
          <w:p w14:paraId="08399D4A" w14:textId="7402EFEB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Line Level</w:t>
            </w:r>
          </w:p>
        </w:tc>
        <w:tc>
          <w:tcPr>
            <w:tcW w:w="7015" w:type="dxa"/>
          </w:tcPr>
          <w:p w14:paraId="2553CD11" w14:textId="6E51B543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Considering the shape and stress of a full line of text</w:t>
            </w:r>
          </w:p>
        </w:tc>
      </w:tr>
      <w:tr w:rsidR="00C34B38" w14:paraId="608735CF" w14:textId="77777777" w:rsidTr="00E61BF2">
        <w:tc>
          <w:tcPr>
            <w:tcW w:w="2335" w:type="dxa"/>
          </w:tcPr>
          <w:p w14:paraId="5639AD4B" w14:textId="2FBB07CD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Male Endings</w:t>
            </w:r>
          </w:p>
        </w:tc>
        <w:tc>
          <w:tcPr>
            <w:tcW w:w="7015" w:type="dxa"/>
          </w:tcPr>
          <w:p w14:paraId="7DB9EB5C" w14:textId="27B68CD0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Syllabic endings where an accent is on the final syllable at the end of a line</w:t>
            </w:r>
          </w:p>
        </w:tc>
      </w:tr>
      <w:tr w:rsidR="00C34B38" w14:paraId="7F2B944D" w14:textId="77777777" w:rsidTr="00E61BF2">
        <w:tc>
          <w:tcPr>
            <w:tcW w:w="2335" w:type="dxa"/>
          </w:tcPr>
          <w:p w14:paraId="3E283D1C" w14:textId="35272003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Meter</w:t>
            </w:r>
          </w:p>
        </w:tc>
        <w:tc>
          <w:tcPr>
            <w:tcW w:w="7015" w:type="dxa"/>
          </w:tcPr>
          <w:p w14:paraId="28BD3F21" w14:textId="3554F883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organization of the pulse or beat upon which the song is based</w:t>
            </w:r>
          </w:p>
        </w:tc>
      </w:tr>
      <w:tr w:rsidR="00C34B38" w14:paraId="6BD25DF6" w14:textId="77777777" w:rsidTr="00E61BF2">
        <w:tc>
          <w:tcPr>
            <w:tcW w:w="2335" w:type="dxa"/>
          </w:tcPr>
          <w:p w14:paraId="45E53A78" w14:textId="3903D314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Motive</w:t>
            </w:r>
          </w:p>
        </w:tc>
        <w:tc>
          <w:tcPr>
            <w:tcW w:w="7015" w:type="dxa"/>
          </w:tcPr>
          <w:p w14:paraId="0600E809" w14:textId="72AF3EEC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musical idea that is stated then developed further</w:t>
            </w:r>
          </w:p>
        </w:tc>
      </w:tr>
      <w:tr w:rsidR="00C34B38" w14:paraId="26988425" w14:textId="77777777" w:rsidTr="00E61BF2">
        <w:tc>
          <w:tcPr>
            <w:tcW w:w="2335" w:type="dxa"/>
          </w:tcPr>
          <w:p w14:paraId="006B8528" w14:textId="62C584C0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Musical Scene</w:t>
            </w:r>
          </w:p>
        </w:tc>
        <w:tc>
          <w:tcPr>
            <w:tcW w:w="7015" w:type="dxa"/>
          </w:tcPr>
          <w:p w14:paraId="37DFFA77" w14:textId="0CD0F8B4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type of music theatre song that encompasses the action of an entire scene</w:t>
            </w:r>
          </w:p>
        </w:tc>
      </w:tr>
      <w:tr w:rsidR="00C34B38" w14:paraId="6521F289" w14:textId="77777777" w:rsidTr="00E61BF2">
        <w:tc>
          <w:tcPr>
            <w:tcW w:w="2335" w:type="dxa"/>
          </w:tcPr>
          <w:p w14:paraId="4412475F" w14:textId="4E829576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Phrase Shape</w:t>
            </w:r>
          </w:p>
        </w:tc>
        <w:tc>
          <w:tcPr>
            <w:tcW w:w="7015" w:type="dxa"/>
          </w:tcPr>
          <w:p w14:paraId="0C48EFBE" w14:textId="355332E8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The rising (or falling) of a lyric line and/or its musical setting</w:t>
            </w:r>
          </w:p>
        </w:tc>
      </w:tr>
      <w:tr w:rsidR="00C34B38" w14:paraId="3B610606" w14:textId="77777777" w:rsidTr="00E61BF2">
        <w:tc>
          <w:tcPr>
            <w:tcW w:w="2335" w:type="dxa"/>
          </w:tcPr>
          <w:p w14:paraId="6262598B" w14:textId="02ACB64C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Poetic Foot</w:t>
            </w:r>
          </w:p>
        </w:tc>
        <w:tc>
          <w:tcPr>
            <w:tcW w:w="7015" w:type="dxa"/>
          </w:tcPr>
          <w:p w14:paraId="72121949" w14:textId="47111813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lingual measurement consisting of two syllables together</w:t>
            </w:r>
          </w:p>
        </w:tc>
      </w:tr>
      <w:tr w:rsidR="00C34B38" w14:paraId="2A7D8AEB" w14:textId="77777777" w:rsidTr="00E61BF2">
        <w:tc>
          <w:tcPr>
            <w:tcW w:w="2335" w:type="dxa"/>
          </w:tcPr>
          <w:p w14:paraId="1430DB71" w14:textId="36DA40B3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Prosody</w:t>
            </w:r>
          </w:p>
        </w:tc>
        <w:tc>
          <w:tcPr>
            <w:tcW w:w="7015" w:type="dxa"/>
          </w:tcPr>
          <w:p w14:paraId="315F2790" w14:textId="26B44D83" w:rsidR="00C34B38" w:rsidRPr="004238B6" w:rsidRDefault="00C34B38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Matching the stress of the lyric with the stress in the musical setting</w:t>
            </w:r>
          </w:p>
        </w:tc>
      </w:tr>
      <w:tr w:rsidR="00C34B38" w14:paraId="66C92AD6" w14:textId="77777777" w:rsidTr="00E61BF2">
        <w:tc>
          <w:tcPr>
            <w:tcW w:w="2335" w:type="dxa"/>
          </w:tcPr>
          <w:p w14:paraId="2D47176A" w14:textId="6DF0EA9E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Rhyme</w:t>
            </w:r>
          </w:p>
        </w:tc>
        <w:tc>
          <w:tcPr>
            <w:tcW w:w="7015" w:type="dxa"/>
          </w:tcPr>
          <w:p w14:paraId="1B5A0046" w14:textId="1479848A" w:rsidR="00C34B38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 xml:space="preserve">Different words that </w:t>
            </w:r>
            <w:r w:rsidRPr="004238B6">
              <w:rPr>
                <w:rFonts w:ascii="Palatino" w:hAnsi="Palatino" w:cs="Times New Roman"/>
                <w:b/>
                <w:bCs/>
                <w:i/>
                <w:iCs/>
                <w:sz w:val="20"/>
                <w:szCs w:val="20"/>
              </w:rPr>
              <w:t>sound</w:t>
            </w:r>
            <w:r w:rsidRPr="004238B6">
              <w:rPr>
                <w:rFonts w:ascii="Palatino" w:hAnsi="Palatino" w:cs="Times New Roman"/>
                <w:sz w:val="20"/>
                <w:szCs w:val="20"/>
              </w:rPr>
              <w:t xml:space="preserve"> the same at their ends</w:t>
            </w:r>
          </w:p>
        </w:tc>
      </w:tr>
      <w:tr w:rsidR="00C34B38" w14:paraId="2A630FB5" w14:textId="77777777" w:rsidTr="00E61BF2">
        <w:tc>
          <w:tcPr>
            <w:tcW w:w="2335" w:type="dxa"/>
          </w:tcPr>
          <w:p w14:paraId="4E7D306E" w14:textId="4E65AD34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Quatrain</w:t>
            </w:r>
          </w:p>
        </w:tc>
        <w:tc>
          <w:tcPr>
            <w:tcW w:w="7015" w:type="dxa"/>
          </w:tcPr>
          <w:p w14:paraId="33B7B9E3" w14:textId="2E93FD24" w:rsidR="00C34B38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Four lines of poetry that belong together as a stanza</w:t>
            </w:r>
          </w:p>
        </w:tc>
      </w:tr>
      <w:tr w:rsidR="00C34B38" w14:paraId="042C8265" w14:textId="77777777" w:rsidTr="00E61BF2">
        <w:tc>
          <w:tcPr>
            <w:tcW w:w="2335" w:type="dxa"/>
          </w:tcPr>
          <w:p w14:paraId="355E6F37" w14:textId="2DB27CD5" w:rsidR="00C34B38" w:rsidRPr="004238B6" w:rsidRDefault="00C34B38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Stanza</w:t>
            </w:r>
          </w:p>
        </w:tc>
        <w:tc>
          <w:tcPr>
            <w:tcW w:w="7015" w:type="dxa"/>
          </w:tcPr>
          <w:p w14:paraId="02DD705E" w14:textId="5BCB1FEA" w:rsidR="00C34B38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Four or more lines of poetry that belong together and follow the same stress as other stanzas</w:t>
            </w:r>
          </w:p>
        </w:tc>
      </w:tr>
      <w:tr w:rsidR="00BC5315" w14:paraId="6E435FBB" w14:textId="77777777" w:rsidTr="00E61BF2">
        <w:tc>
          <w:tcPr>
            <w:tcW w:w="2335" w:type="dxa"/>
          </w:tcPr>
          <w:p w14:paraId="3A9311AB" w14:textId="336BC229" w:rsidR="00BC5315" w:rsidRPr="004238B6" w:rsidRDefault="00BC5315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Stress</w:t>
            </w:r>
          </w:p>
        </w:tc>
        <w:tc>
          <w:tcPr>
            <w:tcW w:w="7015" w:type="dxa"/>
          </w:tcPr>
          <w:p w14:paraId="3719A7B3" w14:textId="6FCF6A65" w:rsidR="00BC5315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Which syllable and note that gets weight or is emphasized within a song</w:t>
            </w:r>
          </w:p>
        </w:tc>
      </w:tr>
      <w:tr w:rsidR="00BC5315" w14:paraId="486D2819" w14:textId="77777777" w:rsidTr="00E61BF2">
        <w:tc>
          <w:tcPr>
            <w:tcW w:w="2335" w:type="dxa"/>
          </w:tcPr>
          <w:p w14:paraId="29BC83BE" w14:textId="48045D03" w:rsidR="00BC5315" w:rsidRPr="004238B6" w:rsidRDefault="00BC5315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Strong Syllable</w:t>
            </w:r>
          </w:p>
        </w:tc>
        <w:tc>
          <w:tcPr>
            <w:tcW w:w="7015" w:type="dxa"/>
          </w:tcPr>
          <w:p w14:paraId="4016DEC6" w14:textId="570F1049" w:rsidR="00BC5315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portion of a word (or potentially the entire word) which receives emphasis</w:t>
            </w:r>
          </w:p>
        </w:tc>
      </w:tr>
      <w:tr w:rsidR="00BC5315" w14:paraId="3844A483" w14:textId="77777777" w:rsidTr="00E61BF2">
        <w:tc>
          <w:tcPr>
            <w:tcW w:w="2335" w:type="dxa"/>
          </w:tcPr>
          <w:p w14:paraId="1EA81C94" w14:textId="6A7105D1" w:rsidR="00BC5315" w:rsidRPr="004238B6" w:rsidRDefault="00BC5315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Tag</w:t>
            </w:r>
          </w:p>
        </w:tc>
        <w:tc>
          <w:tcPr>
            <w:tcW w:w="7015" w:type="dxa"/>
          </w:tcPr>
          <w:p w14:paraId="325D16E9" w14:textId="2D7BB0EE" w:rsidR="00BC5315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sz w:val="20"/>
                <w:szCs w:val="20"/>
              </w:rPr>
              <w:t>A coda or extension at the end of a song, often following a deceptive cadence</w:t>
            </w:r>
          </w:p>
        </w:tc>
      </w:tr>
      <w:tr w:rsidR="00BC5315" w14:paraId="1C6C96EB" w14:textId="77777777" w:rsidTr="00E61BF2">
        <w:tc>
          <w:tcPr>
            <w:tcW w:w="2335" w:type="dxa"/>
          </w:tcPr>
          <w:p w14:paraId="3C681473" w14:textId="0CF918F1" w:rsidR="00BC5315" w:rsidRPr="004238B6" w:rsidRDefault="00BC5315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Time Signature</w:t>
            </w:r>
          </w:p>
        </w:tc>
        <w:tc>
          <w:tcPr>
            <w:tcW w:w="7015" w:type="dxa"/>
          </w:tcPr>
          <w:p w14:paraId="7FE557F7" w14:textId="748EE658" w:rsidR="00BC5315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/>
                <w:sz w:val="20"/>
                <w:szCs w:val="20"/>
              </w:rPr>
              <w:t>The organization of the meter into groups of duple or triple</w:t>
            </w:r>
          </w:p>
        </w:tc>
      </w:tr>
      <w:tr w:rsidR="00BC5315" w14:paraId="128E8893" w14:textId="77777777" w:rsidTr="00E61BF2">
        <w:tc>
          <w:tcPr>
            <w:tcW w:w="2335" w:type="dxa"/>
          </w:tcPr>
          <w:p w14:paraId="0CE67656" w14:textId="4B3E8C40" w:rsidR="00BC5315" w:rsidRPr="004238B6" w:rsidRDefault="00BC5315" w:rsidP="004238B6">
            <w:pPr>
              <w:spacing w:after="60"/>
              <w:ind w:hanging="720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4238B6">
              <w:rPr>
                <w:rFonts w:ascii="Palatino" w:hAnsi="Palatino" w:cs="Times New Roman"/>
                <w:b/>
                <w:bCs/>
                <w:sz w:val="20"/>
                <w:szCs w:val="20"/>
              </w:rPr>
              <w:t>Weak Syllable</w:t>
            </w:r>
          </w:p>
        </w:tc>
        <w:tc>
          <w:tcPr>
            <w:tcW w:w="7015" w:type="dxa"/>
          </w:tcPr>
          <w:p w14:paraId="0056873B" w14:textId="3DE464DD" w:rsidR="00BC5315" w:rsidRPr="004238B6" w:rsidRDefault="00BC5315" w:rsidP="00E61BF2">
            <w:pPr>
              <w:spacing w:after="60"/>
              <w:ind w:left="438" w:hanging="462"/>
              <w:rPr>
                <w:rFonts w:ascii="Palatino" w:hAnsi="Palatino"/>
                <w:sz w:val="20"/>
                <w:szCs w:val="20"/>
              </w:rPr>
            </w:pPr>
            <w:r w:rsidRPr="004238B6">
              <w:rPr>
                <w:rFonts w:ascii="Palatino" w:hAnsi="Palatino"/>
                <w:sz w:val="20"/>
                <w:szCs w:val="20"/>
              </w:rPr>
              <w:t xml:space="preserve">A portion of a word (or potentially the entire word) which </w:t>
            </w:r>
            <w:r w:rsidRPr="004238B6">
              <w:rPr>
                <w:rFonts w:ascii="Palatino" w:hAnsi="Palatino"/>
                <w:b/>
                <w:bCs/>
                <w:i/>
                <w:iCs/>
                <w:sz w:val="20"/>
                <w:szCs w:val="20"/>
              </w:rPr>
              <w:t>does not</w:t>
            </w:r>
            <w:r w:rsidRPr="004238B6">
              <w:rPr>
                <w:rFonts w:ascii="Palatino" w:hAnsi="Palatino"/>
                <w:sz w:val="20"/>
                <w:szCs w:val="20"/>
              </w:rPr>
              <w:t xml:space="preserve"> receive emphasis</w:t>
            </w:r>
          </w:p>
        </w:tc>
      </w:tr>
    </w:tbl>
    <w:p w14:paraId="5019A133" w14:textId="77777777" w:rsidR="00C34B38" w:rsidRDefault="00C34B38">
      <w:pPr>
        <w:rPr>
          <w:rFonts w:ascii="Palatino" w:hAnsi="Palatino"/>
        </w:rPr>
      </w:pPr>
    </w:p>
    <w:p w14:paraId="752E4992" w14:textId="77777777" w:rsidR="0071199C" w:rsidRPr="0071199C" w:rsidRDefault="0071199C">
      <w:pPr>
        <w:rPr>
          <w:rFonts w:ascii="Palatino" w:hAnsi="Palatino"/>
        </w:rPr>
      </w:pPr>
    </w:p>
    <w:sectPr w:rsidR="0071199C" w:rsidRPr="0071199C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45AF" w14:textId="77777777" w:rsidR="00B50AFE" w:rsidRDefault="00B50AFE" w:rsidP="00E2023D">
      <w:r>
        <w:separator/>
      </w:r>
    </w:p>
  </w:endnote>
  <w:endnote w:type="continuationSeparator" w:id="0">
    <w:p w14:paraId="1A6260AF" w14:textId="77777777" w:rsidR="00B50AFE" w:rsidRDefault="00B50AFE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322" w14:textId="77777777" w:rsidR="00B50AFE" w:rsidRDefault="00B50AFE" w:rsidP="00E2023D">
      <w:r>
        <w:separator/>
      </w:r>
    </w:p>
  </w:footnote>
  <w:footnote w:type="continuationSeparator" w:id="0">
    <w:p w14:paraId="450FEBC2" w14:textId="77777777" w:rsidR="00B50AFE" w:rsidRDefault="00B50AFE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07E62"/>
    <w:rsid w:val="001933EC"/>
    <w:rsid w:val="00223CDB"/>
    <w:rsid w:val="004238B6"/>
    <w:rsid w:val="0048263A"/>
    <w:rsid w:val="004F285F"/>
    <w:rsid w:val="0051337E"/>
    <w:rsid w:val="005F7051"/>
    <w:rsid w:val="00611568"/>
    <w:rsid w:val="0071199C"/>
    <w:rsid w:val="007520F7"/>
    <w:rsid w:val="0079156C"/>
    <w:rsid w:val="00813088"/>
    <w:rsid w:val="009A38DE"/>
    <w:rsid w:val="009C38CF"/>
    <w:rsid w:val="00A12F9D"/>
    <w:rsid w:val="00A27283"/>
    <w:rsid w:val="00A329F2"/>
    <w:rsid w:val="00B044F6"/>
    <w:rsid w:val="00B50AFE"/>
    <w:rsid w:val="00BC5315"/>
    <w:rsid w:val="00C34B38"/>
    <w:rsid w:val="00D37623"/>
    <w:rsid w:val="00D86D39"/>
    <w:rsid w:val="00E2023D"/>
    <w:rsid w:val="00E341B0"/>
    <w:rsid w:val="00E61BF2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C3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2021-11-01T12:14:00Z</dcterms:created>
  <dcterms:modified xsi:type="dcterms:W3CDTF">2021-11-01T12:14:00Z</dcterms:modified>
</cp:coreProperties>
</file>